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hAnsi="Verdana" w:cs="Verdana"/>
          <w:sz w:val="16"/>
          <w:szCs w:val="16"/>
        </w:rPr>
      </w:pP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МИНИСТЕРСТВО ПРОСВЕЩЕНИЯ РОССИЙСКОЙ ФЕДЕРАЦИИ</w:t>
      </w: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ПИСЬМО</w:t>
      </w: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от 9 сентября 2020 г. N ГД-1425/09</w:t>
      </w: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О НАПРАВЛЕНИИ ИНФОРМАЦИИ</w:t>
      </w: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В связи с множественными обращениями субъектов Российской Федерации, по вопросам обеспечения горячим питанием обучающихся 1 - 4 классов в рамках сложившейся в регионах практики обучения в 1-ую и во 2-ую смены, Министерство просвещения Российской Федерации в части </w:t>
      </w:r>
      <w:hyperlink r:id="rId4" w:history="1">
        <w:r>
          <w:rPr>
            <w:rFonts w:ascii="Verdana" w:hAnsi="Verdana" w:cs="Verdana"/>
            <w:color w:val="0000FF"/>
            <w:sz w:val="16"/>
            <w:szCs w:val="16"/>
          </w:rPr>
          <w:t>п. 2.1 ст. 37</w:t>
        </w:r>
      </w:hyperlink>
      <w:r>
        <w:rPr>
          <w:rFonts w:ascii="Verdana" w:hAnsi="Verdana" w:cs="Verdana"/>
          <w:sz w:val="16"/>
          <w:szCs w:val="16"/>
        </w:rPr>
        <w:t xml:space="preserve"> Федерального закона от 29 декабря 2012 г. N 273-ФЗ "Об образовании в Российской Федерации" сообщает.</w:t>
      </w:r>
    </w:p>
    <w:p w:rsidR="00663F26" w:rsidRDefault="00663F26" w:rsidP="00663F26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При организации обеспечения горячим питанием (не менее одного раза в день, предусматривающим наличие горячего блюда, не считая горячего напитка, согласно </w:t>
      </w:r>
      <w:hyperlink r:id="rId5" w:history="1">
        <w:r>
          <w:rPr>
            <w:rFonts w:ascii="Verdana" w:hAnsi="Verdana" w:cs="Verdana"/>
            <w:color w:val="0000FF"/>
            <w:sz w:val="16"/>
            <w:szCs w:val="16"/>
          </w:rPr>
          <w:t>ст. 37, п. 2.1</w:t>
        </w:r>
      </w:hyperlink>
      <w:r>
        <w:rPr>
          <w:rFonts w:ascii="Verdana" w:hAnsi="Verdana" w:cs="Verdana"/>
          <w:sz w:val="16"/>
          <w:szCs w:val="16"/>
        </w:rPr>
        <w:t>. Федерального закона от 29 декабря 2012 г. N 273-ФЗ "Об образовании в Российской Федерации") считаем целесообразным исходить из следующих подходов:</w:t>
      </w:r>
    </w:p>
    <w:p w:rsidR="00663F26" w:rsidRDefault="00663F26" w:rsidP="00663F26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- стоимость горячего питания в рамках одной школы должна быть одинаковой для всех учеников начальной школы, обучающихся в 1-ую и во 2-ую смены, во избежание возникновения проблемы "разных столов", обусловленной большей стоимостью обеда по сравнению с завтраком, и, как следствие, необходимостью выделения большей суммы на обучающихся 2-ой смены;</w:t>
      </w:r>
    </w:p>
    <w:p w:rsidR="00663F26" w:rsidRDefault="00663F26" w:rsidP="00663F26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- время начала занятий 2-ой смены может быть разным в школах в пределах одного муниципалитета одного субъекта Российской Федерации (и даже может быть разным в пределах одной общеобразовательной организации) и зависит от условий и особенностей организации образовательного процесса, поэтому возникают сложности по привязке времени начала занятий 2-ой смены с приемом пищи, который по времени можно квалифицировать как "обед"; однако норма, устанавливающая обязанность учредителя по обеспечению обучающихся 1 - 4 классов бесплатным горячим питанием, не содержит указание на тот или иной вид приема пищи (завтрак, обед, ужин), в рамках которого необходимо обеспечивать бесплатным горячим питанием. Полагаем целесообразным в этой связи рассмотреть возможность организации учебного процесса обучающихся 1 - 4 классов преимущественно в первую смену. Таким образом, требования о "недопущении замены обеда завтраком" в методических рекомендациях </w:t>
      </w:r>
      <w:proofErr w:type="spellStart"/>
      <w:r>
        <w:rPr>
          <w:rFonts w:ascii="Verdana" w:hAnsi="Verdana" w:cs="Verdana"/>
          <w:sz w:val="16"/>
          <w:szCs w:val="16"/>
        </w:rPr>
        <w:t>Роспотребнадзора</w:t>
      </w:r>
      <w:proofErr w:type="spellEnd"/>
      <w:r>
        <w:rPr>
          <w:rFonts w:ascii="Verdana" w:hAnsi="Verdana" w:cs="Verdana"/>
          <w:sz w:val="16"/>
          <w:szCs w:val="16"/>
        </w:rPr>
        <w:t xml:space="preserve"> МР 2.4.0179-20 "Рекомендации по организации питания для обучающихся общеобразовательных организаций" </w:t>
      </w:r>
      <w:hyperlink r:id="rId6" w:history="1">
        <w:r>
          <w:rPr>
            <w:rFonts w:ascii="Verdana" w:hAnsi="Verdana" w:cs="Verdana"/>
            <w:color w:val="0000FF"/>
            <w:sz w:val="16"/>
            <w:szCs w:val="16"/>
          </w:rPr>
          <w:t>(пункт 2.4)</w:t>
        </w:r>
      </w:hyperlink>
      <w:r>
        <w:rPr>
          <w:rFonts w:ascii="Verdana" w:hAnsi="Verdana" w:cs="Verdana"/>
          <w:sz w:val="16"/>
          <w:szCs w:val="16"/>
        </w:rPr>
        <w:t xml:space="preserve"> не является единообразно применимым к организации бесплатным горячим питанием обучающихся 1 - 4 классов, а применяется к организации питания обучающихся в целом;</w:t>
      </w:r>
    </w:p>
    <w:p w:rsidR="00663F26" w:rsidRDefault="00663F26" w:rsidP="00663F26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- согласно законодательству учредитель должен обеспечить (снабдить в нужном количестве) обучающихся по образовательным программам начального общего образования в государственных и муниципальных образовательных организациях бесплатным горячим питанием не менее одного раза в день,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 и местных бюджетов, предусмотренных законодательством Российской Федерации (</w:t>
      </w:r>
      <w:hyperlink r:id="rId7" w:history="1">
        <w:r>
          <w:rPr>
            <w:rFonts w:ascii="Verdana" w:hAnsi="Verdana" w:cs="Verdana"/>
            <w:color w:val="0000FF"/>
            <w:sz w:val="16"/>
            <w:szCs w:val="16"/>
          </w:rPr>
          <w:t>ст. 37, п. 2.1</w:t>
        </w:r>
      </w:hyperlink>
      <w:r>
        <w:rPr>
          <w:rFonts w:ascii="Verdana" w:hAnsi="Verdana" w:cs="Verdana"/>
          <w:sz w:val="16"/>
          <w:szCs w:val="16"/>
        </w:rPr>
        <w:t xml:space="preserve">. Федерального закона от 29 декабря 2012 г. N 273-ФЗ "Об образовании в Российской Федерации"), и организовать питание (т.е., наладить процесс с использованием различных источников финансового обеспечения) для обучающихся образовательных учреждений двухразовое горячее питание (завтрак и обед) (СанПиН 2.4.5.2409-08, часть VI "Требования к организации здорового питания и формированию примерного меню", </w:t>
      </w:r>
      <w:hyperlink r:id="rId8" w:history="1">
        <w:r>
          <w:rPr>
            <w:rFonts w:ascii="Verdana" w:hAnsi="Verdana" w:cs="Verdana"/>
            <w:color w:val="0000FF"/>
            <w:sz w:val="16"/>
            <w:szCs w:val="16"/>
          </w:rPr>
          <w:t>п. 6.8</w:t>
        </w:r>
      </w:hyperlink>
      <w:r>
        <w:rPr>
          <w:rFonts w:ascii="Verdana" w:hAnsi="Verdana" w:cs="Verdana"/>
          <w:sz w:val="16"/>
          <w:szCs w:val="16"/>
        </w:rPr>
        <w:t>).</w:t>
      </w:r>
    </w:p>
    <w:p w:rsidR="00663F26" w:rsidRDefault="00663F26" w:rsidP="00663F26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Таким образом, считаем целесообразным рекомендовать субъектам Российской Федерации при использовании субсидии на </w:t>
      </w:r>
      <w:proofErr w:type="spellStart"/>
      <w:r>
        <w:rPr>
          <w:rFonts w:ascii="Verdana" w:hAnsi="Verdana" w:cs="Verdana"/>
          <w:sz w:val="16"/>
          <w:szCs w:val="16"/>
        </w:rPr>
        <w:t>софинансирование</w:t>
      </w:r>
      <w:proofErr w:type="spellEnd"/>
      <w:r>
        <w:rPr>
          <w:rFonts w:ascii="Verdana" w:hAnsi="Verdana" w:cs="Verdana"/>
          <w:sz w:val="16"/>
          <w:szCs w:val="16"/>
        </w:rPr>
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Федерации, ориентироваться на необходимость обеспечить обучающихся по образовательным программам начального общего образования в государственных и муниципальных образовательных организациях бесплатным горячим питанием, предусматривающим наличие горячего блюда, не считая горячего напитка, один раз в день в общеобразовательной организации в обязательном порядке, независимо от режима обучения (1-ой или 2-ой смены).</w:t>
      </w:r>
    </w:p>
    <w:p w:rsidR="00663F26" w:rsidRDefault="00663F26" w:rsidP="00663F26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Обеспечение обучающихся начальной школы (1 - 4 классы) бесплатным горячим питанием более одного раза в день, предусматривающим наличие горячих первого и второго блюд или второго блюда, организованного по </w:t>
      </w:r>
      <w:hyperlink r:id="rId9" w:history="1">
        <w:r>
          <w:rPr>
            <w:rFonts w:ascii="Verdana" w:hAnsi="Verdana" w:cs="Verdana"/>
            <w:color w:val="0000FF"/>
            <w:sz w:val="16"/>
            <w:szCs w:val="16"/>
          </w:rPr>
          <w:t>СанПиН 2.4.5.2409-08</w:t>
        </w:r>
      </w:hyperlink>
      <w:r>
        <w:rPr>
          <w:rFonts w:ascii="Verdana" w:hAnsi="Verdana" w:cs="Verdana"/>
          <w:sz w:val="16"/>
          <w:szCs w:val="16"/>
        </w:rPr>
        <w:t>, допускается в соответствии с региональными и/или муниципальными нормативно-правовыми актами (далее - НПА).</w:t>
      </w:r>
    </w:p>
    <w:p w:rsidR="00663F26" w:rsidRDefault="00663F26" w:rsidP="00663F26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Указанное горячее питание (более одного раза в день) организуется за счет бюджетов субъектов Российской Федерации, местных бюджетов и иных источников финансирования, предусмотренных законодательством Российской Федерации (в том числе родительской платы).</w:t>
      </w:r>
    </w:p>
    <w:p w:rsidR="00663F26" w:rsidRDefault="00663F26" w:rsidP="00663F26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При этом обращаем внимание, что бесплатное двухразовое питание может быть организовано для школьников льготных категорий, установленных региональными и/или муниципальными НПА по усмотрению регионов и/или муниципалитетов.</w:t>
      </w: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:rsidR="00663F26" w:rsidRDefault="00663F26" w:rsidP="00663F2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Д.Е.ГЛУШКО</w:t>
      </w:r>
    </w:p>
    <w:p w:rsidR="003B7B95" w:rsidRDefault="003B7B95">
      <w:bookmarkStart w:id="0" w:name="_GoBack"/>
      <w:bookmarkEnd w:id="0"/>
    </w:p>
    <w:sectPr w:rsidR="003B7B95" w:rsidSect="00AC5995">
      <w:pgSz w:w="11905" w:h="16836"/>
      <w:pgMar w:top="425" w:right="422" w:bottom="283" w:left="42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E8"/>
    <w:rsid w:val="003B7B95"/>
    <w:rsid w:val="00573AE8"/>
    <w:rsid w:val="006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3B9F1-F1FF-41D9-B259-0C7A8787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96068A37EFC988D311AAA5ECB64C270F201B8CB9729589AD4C3AB1B0B7649E7A5554E0DB71B79C41347C64E4624243D65C24930F1E5DE0v9s1F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96068A37EFC988D311AAA5ECB64C270F261B84B37F9589AD4C3AB1B0B7649E7A5554E2D275BDCB147B7D38A2355141DD5C269A13v1sC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96068A37EFC988D311AAA5ECB64C270F271883B77D9589AD4C3AB1B0B7649E7A5554E0DB71B69D45347C64E4624243D65C24930F1E5DE0v9s1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F96068A37EFC988D311AAA5ECB64C270F261B84B37F9589AD4C3AB1B0B7649E7A5554E2D275BDCB147B7D38A2355141DD5C269A13v1sC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F96068A37EFC988D311AAA5ECB64C270F261B84B37F9589AD4C3AB1B0B7649E7A5554E2D275BDCB147B7D38A2355141DD5C269A13v1sCF" TargetMode="External"/><Relationship Id="rId9" Type="http://schemas.openxmlformats.org/officeDocument/2006/relationships/hyperlink" Target="consultantplus://offline/ref=1F96068A37EFC988D311AAA5ECB64C270F201B8CB9729589AD4C3AB1B0B7649E7A5554E0DB71B69E40347C64E4624243D65C24930F1E5DE0v9s1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B6353FAE6A8A4F89604E1A37A5B679" ma:contentTypeVersion="0" ma:contentTypeDescription="Создание документа." ma:contentTypeScope="" ma:versionID="9b2888963610ea6e59faf104a154f1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45228-8CB4-44C5-8D8E-E276DC7F26C5}"/>
</file>

<file path=customXml/itemProps2.xml><?xml version="1.0" encoding="utf-8"?>
<ds:datastoreItem xmlns:ds="http://schemas.openxmlformats.org/officeDocument/2006/customXml" ds:itemID="{BFE8787C-0D17-4B70-98CE-2556F19B47EC}"/>
</file>

<file path=customXml/itemProps3.xml><?xml version="1.0" encoding="utf-8"?>
<ds:datastoreItem xmlns:ds="http://schemas.openxmlformats.org/officeDocument/2006/customXml" ds:itemID="{7689713C-DBB2-437B-9608-8C19957FC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5089</Characters>
  <Application>Microsoft Office Word</Application>
  <DocSecurity>0</DocSecurity>
  <Lines>42</Lines>
  <Paragraphs>11</Paragraphs>
  <ScaleCrop>false</ScaleCrop>
  <Company>RCIiOKO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 Юрьевна</dc:creator>
  <cp:keywords/>
  <dc:description/>
  <cp:lastModifiedBy>Логинова Наталья Юрьевна</cp:lastModifiedBy>
  <cp:revision>2</cp:revision>
  <dcterms:created xsi:type="dcterms:W3CDTF">2020-09-22T05:44:00Z</dcterms:created>
  <dcterms:modified xsi:type="dcterms:W3CDTF">2020-09-22T05:45:00Z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0x0101003AB6353FAE6A8A4F89604E1A37A5B679</vt:lpwstr>
  </property>
</Properties>
</file>